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26" w:rsidRDefault="002F3A26" w:rsidP="002F3A26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Unterflurhydrant nach DIN EN 14339 mit DIN-DVGW Baumusterzertifikat</w:t>
      </w:r>
    </w:p>
    <w:p w:rsidR="002F3A26" w:rsidRDefault="002F3A26" w:rsidP="002F3A26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Form A</w:t>
      </w:r>
      <w:bookmarkStart w:id="0" w:name="_GoBack"/>
      <w:bookmarkEnd w:id="0"/>
      <w:r>
        <w:rPr>
          <w:rFonts w:ascii="Courier New" w:eastAsia="Courier New" w:hAnsi="Courier New" w:cs="Courier New"/>
          <w:bCs/>
          <w:sz w:val="22"/>
          <w:szCs w:val="22"/>
        </w:rPr>
        <w:t xml:space="preserve"> DN 80</w:t>
      </w:r>
    </w:p>
    <w:p w:rsidR="002F3A26" w:rsidRDefault="002F3A26" w:rsidP="002F3A26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2F3A26" w:rsidRDefault="002F3A26" w:rsidP="002F3A26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Flanschanschluss nach DIN EN 1092-2 PN 16 DG Typ 21</w:t>
      </w:r>
    </w:p>
    <w:p w:rsidR="002F3A26" w:rsidRDefault="002F3A26" w:rsidP="002F3A26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Mit Sicherheitsverriegelung der Innengarnitur</w:t>
      </w:r>
    </w:p>
    <w:p w:rsidR="002F3A26" w:rsidRDefault="002F3A26" w:rsidP="002F3A26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Innengarnitur austauschbar</w:t>
      </w:r>
    </w:p>
    <w:p w:rsidR="002F3A26" w:rsidRDefault="002F3A26" w:rsidP="002F3A26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Selbsttätige, druckwassersichere Entleerung, senkrechte Trockenstrecke der Entwässerung min. 50 mm</w:t>
      </w:r>
    </w:p>
    <w:p w:rsidR="002F3A26" w:rsidRDefault="002F3A26" w:rsidP="002F3A26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2F3A26" w:rsidRDefault="002F3A26" w:rsidP="002F3A26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 xml:space="preserve">Alle Werkstoffe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entsprechen den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 xml:space="preserve"> Anforderungen nach KTW und DVGW Regelwerk W270.</w:t>
      </w:r>
    </w:p>
    <w:p w:rsidR="002F3A26" w:rsidRDefault="002F3A26" w:rsidP="002F3A26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2F3A26" w:rsidRDefault="002F3A26" w:rsidP="002F3A26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Rohrdeckung: 0,75 m; 1,00 m; 1,25 m; 1,50 m</w:t>
      </w:r>
    </w:p>
    <w:p w:rsidR="002F3A26" w:rsidRPr="000F5862" w:rsidRDefault="002F3A26" w:rsidP="002F3A2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:rsidR="002F3A26" w:rsidRPr="000F5862" w:rsidRDefault="002F3A26" w:rsidP="002F3A2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:rsidR="002F3A26" w:rsidRPr="000F5862" w:rsidRDefault="002F3A26" w:rsidP="002F3A2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:rsidR="002F3A26" w:rsidRPr="000F5862" w:rsidRDefault="002F3A26" w:rsidP="002F3A2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0F5862">
        <w:rPr>
          <w:rFonts w:ascii="Courier New" w:eastAsia="MS Mincho" w:hAnsi="Courier New" w:cs="Courier New"/>
          <w:sz w:val="22"/>
          <w:szCs w:val="22"/>
        </w:rPr>
        <w:t>Lemhöfer</w:t>
      </w:r>
      <w:proofErr w:type="spellEnd"/>
      <w:r w:rsidRPr="000F5862">
        <w:rPr>
          <w:rFonts w:ascii="Courier New" w:eastAsia="MS Mincho" w:hAnsi="Courier New" w:cs="Courier New"/>
          <w:sz w:val="22"/>
          <w:szCs w:val="22"/>
        </w:rPr>
        <w:t xml:space="preserve"> Dienstleistungen</w:t>
      </w:r>
    </w:p>
    <w:p w:rsidR="002F3A26" w:rsidRDefault="002F3A26" w:rsidP="002F3A2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:rsidR="002F3A26" w:rsidRDefault="002F3A26" w:rsidP="002F3A2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p w:rsidR="002F3A26" w:rsidRPr="00D460CF" w:rsidRDefault="002F3A26" w:rsidP="002F3A26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hyperlink r:id="rId4">
        <w:r w:rsidRPr="000F5862">
          <w:rPr>
            <w:rStyle w:val="Hyperlink"/>
            <w:rFonts w:ascii="Courier New" w:eastAsia="MS Mincho" w:hAnsi="Courier New" w:cs="Courier New"/>
            <w:sz w:val="22"/>
            <w:szCs w:val="22"/>
          </w:rPr>
          <w:t>www.loeschwassersysteme.com</w:t>
        </w:r>
      </w:hyperlink>
    </w:p>
    <w:p w:rsidR="00E21330" w:rsidRDefault="002F3A26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26"/>
    <w:rsid w:val="002F3A26"/>
    <w:rsid w:val="00322E4B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7D084"/>
  <w15:chartTrackingRefBased/>
  <w15:docId w15:val="{7FAF207B-249E-2244-8A0F-BC8D22A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3A2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3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2018-10-08T09:17:00Z</dcterms:created>
  <dcterms:modified xsi:type="dcterms:W3CDTF">2018-10-08T09:18:00Z</dcterms:modified>
</cp:coreProperties>
</file>