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Revisionsabsperrung mit integrierter Entleerungseinrichtung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Typ REV-ENT, DN 50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Stück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Absperrklappe PN 16 DN 50 mit Plombiereinrichtung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Entleerungskugelhahn PN 16, G 1/2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fertig montiert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Technische Daten: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Betriebstemperatur:   -10C bis max. +150C, druckabhängig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Betriebsdruck:        max. PN 16 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Flanschanschluss:     nach DIN 2501/1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EN 1092-1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Antriebsanschluss:    nach DIN EN ISO 5211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Gehäusematerial:      Grauguss GG25, lackiert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Einschraubring:       Grauguss GG25, lackiert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 Kugelhahn: 1/2"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