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Anschlussstation FES-PLUS Typ 912 DN 80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in Anlehnung DIN 14463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Durchflussmenge:  124 m³/h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Absperrklappe mit pneumatischem Antrieb DN 80 PN 16, DVGW zugelassen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2 Absperrklappe DN 80 PN 16, DVGW zugelassen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Entleerungsventil GSE 02 G 3/4"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Druckschalter TYP PS 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Satz NIRO Schrauben mit Muttern und Dichtung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Trennstrecke aus Edelstahl DN 80 Baulänge 460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mit UV Entkeimungslampe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2 Rückflussverhinderer DN 80 PN 16 DVGW zugelassen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2 Probeentnahmeventile DN 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Druckschalter mit Anschlusskabel für Vor- und Hinterdrucküberwachung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UV Sensor mit Überwachungsfunktion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Anzeigeeinheit RM-32 UV digital, 230 Volt / 50 Hz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zur Überwachung der UV-Lampe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Steuergerät LD 900 P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